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2E" w:rsidRPr="003F472E" w:rsidRDefault="003F472E" w:rsidP="003F472E">
      <w:pPr>
        <w:jc w:val="center"/>
        <w:rPr>
          <w:rFonts w:ascii="標楷體" w:eastAsia="標楷體" w:hAnsi="標楷體"/>
          <w:sz w:val="32"/>
          <w:szCs w:val="32"/>
        </w:rPr>
      </w:pPr>
      <w:r w:rsidRPr="003F472E">
        <w:rPr>
          <w:rFonts w:ascii="標楷體" w:eastAsia="標楷體" w:hAnsi="標楷體" w:hint="eastAsia"/>
          <w:sz w:val="32"/>
          <w:szCs w:val="32"/>
        </w:rPr>
        <w:t>【</w:t>
      </w:r>
      <w:r w:rsidRPr="00613D51">
        <w:rPr>
          <w:rFonts w:ascii="標楷體" w:eastAsia="標楷體" w:hAnsi="標楷體" w:hint="eastAsia"/>
          <w:b/>
          <w:sz w:val="32"/>
          <w:szCs w:val="32"/>
        </w:rPr>
        <w:t>花蓮縣國民小學及國民中學學生成績評量準則</w:t>
      </w:r>
      <w:r w:rsidRPr="003F472E">
        <w:rPr>
          <w:rFonts w:ascii="標楷體" w:eastAsia="標楷體" w:hAnsi="標楷體" w:hint="eastAsia"/>
          <w:sz w:val="32"/>
          <w:szCs w:val="32"/>
        </w:rPr>
        <w:t>】</w:t>
      </w:r>
    </w:p>
    <w:p w:rsidR="003F472E" w:rsidRPr="003F472E" w:rsidRDefault="003F472E" w:rsidP="003F472E">
      <w:pPr>
        <w:jc w:val="right"/>
        <w:rPr>
          <w:rFonts w:ascii="標楷體" w:eastAsia="標楷體" w:hAnsi="標楷體"/>
        </w:rPr>
      </w:pPr>
      <w:r w:rsidRPr="003F472E">
        <w:rPr>
          <w:rFonts w:ascii="標楷體" w:eastAsia="標楷體" w:hAnsi="標楷體" w:hint="eastAsia"/>
        </w:rPr>
        <w:t>【公布日期】101.05.07</w:t>
      </w:r>
    </w:p>
    <w:p w:rsidR="003F472E" w:rsidRPr="003F472E" w:rsidRDefault="003F472E" w:rsidP="003F472E">
      <w:pPr>
        <w:rPr>
          <w:rFonts w:ascii="標楷體" w:eastAsia="標楷體" w:hAnsi="標楷體"/>
        </w:rPr>
      </w:pPr>
      <w:r w:rsidRPr="003F472E">
        <w:rPr>
          <w:rFonts w:ascii="標楷體" w:eastAsia="標楷體" w:hAnsi="標楷體" w:hint="eastAsia"/>
        </w:rPr>
        <w:t>第1條</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本準則依國民教育法第十三條第一項規定訂定之。</w:t>
      </w:r>
    </w:p>
    <w:p w:rsidR="003F472E" w:rsidRPr="003F472E" w:rsidRDefault="003F472E" w:rsidP="003F472E">
      <w:pPr>
        <w:rPr>
          <w:rFonts w:ascii="標楷體" w:eastAsia="標楷體" w:hAnsi="標楷體"/>
        </w:rPr>
      </w:pPr>
      <w:r w:rsidRPr="003F472E">
        <w:rPr>
          <w:rFonts w:ascii="標楷體" w:eastAsia="標楷體" w:hAnsi="標楷體" w:hint="eastAsia"/>
        </w:rPr>
        <w:t>第2條</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國民小學及國民中學（以下簡稱國民中小學）學生成績評量，以協助學生德智體群美五育均衡發展為目的，並具有下列功能：</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一、學生據以瞭解自我表現，並調整學習方法與態度。</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二、教師據以調整教學與評量方式，並輔導學生適性學習。</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三、學校據以調整課程計畫，並針對學生需求安排激勵方案或補救教學。</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四、家長據以瞭解學生學習表現，並與教師、學校共同督導學生有效學習。</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五、直轄市、縣（市）政府及教育部據以進行學習品質管控，並調整課程與教學政策。</w:t>
      </w:r>
    </w:p>
    <w:p w:rsidR="003F472E" w:rsidRPr="003F472E" w:rsidRDefault="003F472E" w:rsidP="003F472E">
      <w:pPr>
        <w:rPr>
          <w:rFonts w:ascii="標楷體" w:eastAsia="標楷體" w:hAnsi="標楷體"/>
        </w:rPr>
      </w:pPr>
      <w:r w:rsidRPr="003F472E">
        <w:rPr>
          <w:rFonts w:ascii="標楷體" w:eastAsia="標楷體" w:hAnsi="標楷體" w:hint="eastAsia"/>
        </w:rPr>
        <w:t>第3條</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國民中小學學生成績評量，應依學習領域及日常生活表現，分別評量之；其評量範圍及內涵如下：</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一、學習領域：其評量範圍包括國民中學及國民小學九年一貫課程綱要所定之七大學習領域及其所融入之重大議題；其內涵包括能力指標、學生努力程度、進步情形，並應兼顧認知、情意、技能及參與實踐等層面，且重視學習歷程與結果之分析。</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二、日常生活表現：其評量範圍及內涵包括學生出缺席情形、獎懲紀錄、團體活動表現、品德言行表現、公共服務及校內外特殊表現等。</w:t>
      </w:r>
    </w:p>
    <w:p w:rsidR="003F472E" w:rsidRPr="003F472E" w:rsidRDefault="003F472E" w:rsidP="003F472E">
      <w:pPr>
        <w:rPr>
          <w:rFonts w:ascii="標楷體" w:eastAsia="標楷體" w:hAnsi="標楷體"/>
        </w:rPr>
      </w:pPr>
      <w:r w:rsidRPr="003F472E">
        <w:rPr>
          <w:rFonts w:ascii="標楷體" w:eastAsia="標楷體" w:hAnsi="標楷體" w:hint="eastAsia"/>
        </w:rPr>
        <w:t>第4條</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國民中小學學生成績評量原則如下：</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一、目標：應符合教育目的之正當性。</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二、對象：應兼顧適性化及彈性調整。</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三、時機：應兼顧平時及定期。</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四、方法：應符合紙筆測驗使用頻率最小化。</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五、結果解釋：應標準參照為主，常模參照為輔。</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六、結果功能：應形成性及總結性功能並重；必要時應兼顧診斷性及安置性功能。</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七、結果呈現：</w:t>
      </w:r>
      <w:proofErr w:type="gramStart"/>
      <w:r w:rsidRPr="003F472E">
        <w:rPr>
          <w:rFonts w:ascii="標楷體" w:eastAsia="標楷體" w:hAnsi="標楷體" w:hint="eastAsia"/>
        </w:rPr>
        <w:t>應質性</w:t>
      </w:r>
      <w:proofErr w:type="gramEnd"/>
      <w:r w:rsidRPr="003F472E">
        <w:rPr>
          <w:rFonts w:ascii="標楷體" w:eastAsia="標楷體" w:hAnsi="標楷體" w:hint="eastAsia"/>
        </w:rPr>
        <w:t>描述及客觀數據並重。</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八、結果管理：應兼顧保密及尊重隱私。</w:t>
      </w:r>
    </w:p>
    <w:p w:rsidR="003F472E" w:rsidRPr="003F472E" w:rsidRDefault="003F472E" w:rsidP="003F472E">
      <w:pPr>
        <w:rPr>
          <w:rFonts w:ascii="標楷體" w:eastAsia="標楷體" w:hAnsi="標楷體"/>
        </w:rPr>
      </w:pPr>
      <w:r w:rsidRPr="003F472E">
        <w:rPr>
          <w:rFonts w:ascii="標楷體" w:eastAsia="標楷體" w:hAnsi="標楷體" w:hint="eastAsia"/>
        </w:rPr>
        <w:t>第5條</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國民中小學學生成績評量，應依第三條規定，並視學生身心發展及個別差異，採取下列適當之方式辦理：</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一、紙筆測驗及表單：依重要知識與概念性目標，及學習興趣、動機與態度</w:t>
      </w:r>
      <w:r w:rsidRPr="003F472E">
        <w:rPr>
          <w:rFonts w:ascii="標楷體" w:eastAsia="標楷體" w:hAnsi="標楷體" w:hint="eastAsia"/>
        </w:rPr>
        <w:lastRenderedPageBreak/>
        <w:t>等情意目標，採用學習單、習作作業、紙筆測驗、問卷、檢核表、評定量表等方式。</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二、實作評量：依問題解決、技能、參與實踐及言行表現性目標，</w:t>
      </w:r>
      <w:proofErr w:type="gramStart"/>
      <w:r w:rsidRPr="003F472E">
        <w:rPr>
          <w:rFonts w:ascii="標楷體" w:eastAsia="標楷體" w:hAnsi="標楷體" w:hint="eastAsia"/>
        </w:rPr>
        <w:t>採</w:t>
      </w:r>
      <w:proofErr w:type="gramEnd"/>
      <w:r w:rsidRPr="003F472E">
        <w:rPr>
          <w:rFonts w:ascii="標楷體" w:eastAsia="標楷體" w:hAnsi="標楷體" w:hint="eastAsia"/>
        </w:rPr>
        <w:t>書面報告、口頭報告、口語溝通、實際操作、作品製作、展演、行為觀察等方式。</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三、檔案評量：依學習目標，指導學生本於目的導向系統彙整或組織表單、測驗、表現評量等資料及相關紀錄，以製成檔案，展現其學習歷程及成果。</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特殊教育學生之成績評量方式，</w:t>
      </w:r>
      <w:proofErr w:type="gramStart"/>
      <w:r w:rsidRPr="003F472E">
        <w:rPr>
          <w:rFonts w:ascii="標楷體" w:eastAsia="標楷體" w:hAnsi="標楷體" w:hint="eastAsia"/>
        </w:rPr>
        <w:t>應衡酌</w:t>
      </w:r>
      <w:proofErr w:type="gramEnd"/>
      <w:r w:rsidRPr="003F472E">
        <w:rPr>
          <w:rFonts w:ascii="標楷體" w:eastAsia="標楷體" w:hAnsi="標楷體" w:hint="eastAsia"/>
        </w:rPr>
        <w:t>其學習需求及優勢管道，彈性調整之。</w:t>
      </w:r>
    </w:p>
    <w:p w:rsidR="003F472E" w:rsidRPr="003F472E" w:rsidRDefault="003F472E" w:rsidP="003F472E">
      <w:pPr>
        <w:rPr>
          <w:rFonts w:ascii="標楷體" w:eastAsia="標楷體" w:hAnsi="標楷體"/>
        </w:rPr>
      </w:pPr>
      <w:r w:rsidRPr="003F472E">
        <w:rPr>
          <w:rFonts w:ascii="標楷體" w:eastAsia="標楷體" w:hAnsi="標楷體" w:hint="eastAsia"/>
        </w:rPr>
        <w:t>第6條</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國民中小學學生成績評量時機，分為定期評量及平時評量二種。</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學習領域評量應兼顧定期評量及平時評量，惟定期評量中紙筆測驗之次數，每學期至多三次，平時評量中紙筆測驗之次數，於各學習領域皆應符合第四條第四款最小化原則。</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日常生活表現以平時評量為原則，評量次數得視需要彈性為之。</w:t>
      </w:r>
    </w:p>
    <w:p w:rsidR="003F472E" w:rsidRPr="003F472E" w:rsidRDefault="003F472E" w:rsidP="003F472E">
      <w:pPr>
        <w:rPr>
          <w:rFonts w:ascii="標楷體" w:eastAsia="標楷體" w:hAnsi="標楷體"/>
        </w:rPr>
      </w:pPr>
      <w:r w:rsidRPr="003F472E">
        <w:rPr>
          <w:rFonts w:ascii="標楷體" w:eastAsia="標楷體" w:hAnsi="標楷體" w:hint="eastAsia"/>
        </w:rPr>
        <w:t>第7條</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國民中小學學生成績評量之評量人員及其實施方式如下：</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一、各學習領域：由授課教師評量，且須於每學期初向學生及家長說明評量計畫。</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二、日常生活表現：由</w:t>
      </w:r>
      <w:proofErr w:type="gramStart"/>
      <w:r w:rsidRPr="003F472E">
        <w:rPr>
          <w:rFonts w:ascii="標楷體" w:eastAsia="標楷體" w:hAnsi="標楷體" w:hint="eastAsia"/>
        </w:rPr>
        <w:t>導師參據學校</w:t>
      </w:r>
      <w:proofErr w:type="gramEnd"/>
      <w:r w:rsidRPr="003F472E">
        <w:rPr>
          <w:rFonts w:ascii="標楷體" w:eastAsia="標楷體" w:hAnsi="標楷體" w:hint="eastAsia"/>
        </w:rPr>
        <w:t>各項紀錄，以及各學習領域授課教師、學生同儕及家長意見反應等加以評定。</w:t>
      </w:r>
    </w:p>
    <w:p w:rsidR="003F472E" w:rsidRPr="003F472E" w:rsidRDefault="003F472E" w:rsidP="003F472E">
      <w:pPr>
        <w:rPr>
          <w:rFonts w:ascii="標楷體" w:eastAsia="標楷體" w:hAnsi="標楷體"/>
        </w:rPr>
      </w:pPr>
      <w:r w:rsidRPr="003F472E">
        <w:rPr>
          <w:rFonts w:ascii="標楷體" w:eastAsia="標楷體" w:hAnsi="標楷體" w:hint="eastAsia"/>
        </w:rPr>
        <w:t>第8條</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國民中小學學生學習領域之平時及定期成績評量結果，應依評量方法之性質以等第、數量或文字描述記錄之。</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前項各學習領域之成績評量，至學期末，應綜合全學期各種評量結果紀錄，參酌學生人格特質、特殊才能、學習情形與態度等，評定及描述學生學習表現和未來學習之具體建議；並應以優、甲、乙、丙、丁之等第，呈現各學習領域學生之全學期學習表現，其等第與分數之轉換如下：</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一、優等：九十分以上。</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二、甲等：八十分以上未滿九十分。</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三、乙等：七十分以上未滿八十分。</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四、丙等：六十分以上未滿七十分。</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五、丁等：未滿六十分。</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前項等第，以丙等為表現及格之基準。</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學生日常生活表現紀錄，應就第三條第二款所列項目，分別依行為事實記錄之，並酌予提供具體建議，不作綜合性評價及等第轉換。</w:t>
      </w:r>
    </w:p>
    <w:p w:rsidR="003F472E" w:rsidRPr="003F472E" w:rsidRDefault="003F472E" w:rsidP="003F472E">
      <w:pPr>
        <w:rPr>
          <w:rFonts w:ascii="標楷體" w:eastAsia="標楷體" w:hAnsi="標楷體"/>
        </w:rPr>
      </w:pPr>
      <w:r w:rsidRPr="003F472E">
        <w:rPr>
          <w:rFonts w:ascii="標楷體" w:eastAsia="標楷體" w:hAnsi="標楷體" w:hint="eastAsia"/>
        </w:rPr>
        <w:t>第9條</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學校就國民中小學學生學習領域及日常生活表現之成績評量紀錄及具體建議，每學期至少應以書面通知家長及學生一次。</w:t>
      </w:r>
    </w:p>
    <w:p w:rsidR="003F472E" w:rsidRPr="003F472E" w:rsidRDefault="003F472E" w:rsidP="003F472E">
      <w:pPr>
        <w:rPr>
          <w:rFonts w:ascii="標楷體" w:eastAsia="標楷體" w:hAnsi="標楷體"/>
        </w:rPr>
      </w:pPr>
      <w:r w:rsidRPr="003F472E">
        <w:rPr>
          <w:rFonts w:ascii="標楷體" w:eastAsia="標楷體" w:hAnsi="標楷體" w:hint="eastAsia"/>
        </w:rPr>
        <w:lastRenderedPageBreak/>
        <w:t xml:space="preserve">　　學校得公告說明學生分數之分布情形。但不得公開呈現個別學生在班級及學校排名。</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直轄市、縣（市）政府應定期檢視所轄國民中小學學生之評量結果，作為其教育政策擬訂及推動</w:t>
      </w:r>
      <w:proofErr w:type="gramStart"/>
      <w:r w:rsidRPr="003F472E">
        <w:rPr>
          <w:rFonts w:ascii="標楷體" w:eastAsia="標楷體" w:hAnsi="標楷體" w:hint="eastAsia"/>
        </w:rPr>
        <w:t>之參據</w:t>
      </w:r>
      <w:proofErr w:type="gramEnd"/>
      <w:r w:rsidRPr="003F472E">
        <w:rPr>
          <w:rFonts w:ascii="標楷體" w:eastAsia="標楷體" w:hAnsi="標楷體" w:hint="eastAsia"/>
        </w:rPr>
        <w:t>，並適時向教育部反應。</w:t>
      </w:r>
    </w:p>
    <w:p w:rsidR="003F472E" w:rsidRPr="003F472E" w:rsidRDefault="003F472E" w:rsidP="003F472E">
      <w:pPr>
        <w:rPr>
          <w:rFonts w:ascii="標楷體" w:eastAsia="標楷體" w:hAnsi="標楷體"/>
        </w:rPr>
      </w:pPr>
      <w:r w:rsidRPr="003F472E">
        <w:rPr>
          <w:rFonts w:ascii="標楷體" w:eastAsia="標楷體" w:hAnsi="標楷體" w:hint="eastAsia"/>
        </w:rPr>
        <w:t>第10條</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國民中小學學生學習領域之成績評量結果未達及格基準者，應施以補救教學，並依教育部所定國民小學及國民中學補救教學實施方案規定辦理。</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學生之日常生活表現不佳者，學校應依所定教師輔導與管教學生相關規定施以輔導，必要時得與家長（或法定代理人）聯繫，且提供學生改過銷過及功過相抵之機會。</w:t>
      </w:r>
    </w:p>
    <w:p w:rsidR="003F472E" w:rsidRPr="005E43C1" w:rsidRDefault="003F472E" w:rsidP="003F472E">
      <w:pPr>
        <w:rPr>
          <w:rFonts w:ascii="標楷體" w:eastAsia="標楷體" w:hAnsi="標楷體"/>
          <w:b/>
        </w:rPr>
      </w:pPr>
      <w:r w:rsidRPr="005E43C1">
        <w:rPr>
          <w:rFonts w:ascii="標楷體" w:eastAsia="標楷體" w:hAnsi="標楷體" w:hint="eastAsia"/>
          <w:b/>
        </w:rPr>
        <w:t>第11條</w:t>
      </w:r>
    </w:p>
    <w:p w:rsidR="003F472E" w:rsidRPr="005E43C1" w:rsidRDefault="003F472E" w:rsidP="003F472E">
      <w:pPr>
        <w:rPr>
          <w:rFonts w:ascii="標楷體" w:eastAsia="標楷體" w:hAnsi="標楷體"/>
          <w:b/>
        </w:rPr>
      </w:pPr>
      <w:r w:rsidRPr="005E43C1">
        <w:rPr>
          <w:rFonts w:ascii="標楷體" w:eastAsia="標楷體" w:hAnsi="標楷體" w:hint="eastAsia"/>
          <w:b/>
        </w:rPr>
        <w:t xml:space="preserve">　　國民中小學學生修業期滿，符合下列規定者，為成績及格由學校發給畢業證書；未達畢業標準者，發給修業證明書：</w:t>
      </w:r>
    </w:p>
    <w:p w:rsidR="003F472E" w:rsidRPr="005E43C1" w:rsidRDefault="003F472E" w:rsidP="003F472E">
      <w:pPr>
        <w:rPr>
          <w:rFonts w:ascii="標楷體" w:eastAsia="標楷體" w:hAnsi="標楷體"/>
          <w:b/>
        </w:rPr>
      </w:pPr>
      <w:r w:rsidRPr="005E43C1">
        <w:rPr>
          <w:rFonts w:ascii="標楷體" w:eastAsia="標楷體" w:hAnsi="標楷體" w:hint="eastAsia"/>
          <w:b/>
        </w:rPr>
        <w:t xml:space="preserve">　　一、學習期間扣除學校核可之公、喪、病假，上課總出席率至少達三分之二以上，且經獎懲抵銷後，未滿</w:t>
      </w:r>
      <w:proofErr w:type="gramStart"/>
      <w:r w:rsidRPr="005E43C1">
        <w:rPr>
          <w:rFonts w:ascii="標楷體" w:eastAsia="標楷體" w:hAnsi="標楷體" w:hint="eastAsia"/>
          <w:b/>
        </w:rPr>
        <w:t>三</w:t>
      </w:r>
      <w:proofErr w:type="gramEnd"/>
      <w:r w:rsidRPr="005E43C1">
        <w:rPr>
          <w:rFonts w:ascii="標楷體" w:eastAsia="標楷體" w:hAnsi="標楷體" w:hint="eastAsia"/>
          <w:b/>
        </w:rPr>
        <w:t>大過。</w:t>
      </w:r>
    </w:p>
    <w:p w:rsidR="003F472E" w:rsidRPr="005E43C1" w:rsidRDefault="003F472E" w:rsidP="003F472E">
      <w:pPr>
        <w:rPr>
          <w:rFonts w:ascii="標楷體" w:eastAsia="標楷體" w:hAnsi="標楷體"/>
          <w:b/>
        </w:rPr>
      </w:pPr>
      <w:r w:rsidRPr="005E43C1">
        <w:rPr>
          <w:rFonts w:ascii="標楷體" w:eastAsia="標楷體" w:hAnsi="標楷體" w:hint="eastAsia"/>
          <w:b/>
        </w:rPr>
        <w:t xml:space="preserve">　　二、七大學習領域有四大學習領域以上畢業總平均成績丙等以上。</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前項規定，自中華民國一百零一年八月一日以後入學國民中小學之學生適用之。</w:t>
      </w:r>
    </w:p>
    <w:p w:rsidR="003F472E" w:rsidRPr="003F472E" w:rsidRDefault="003F472E" w:rsidP="003F472E">
      <w:pPr>
        <w:rPr>
          <w:rFonts w:ascii="標楷體" w:eastAsia="標楷體" w:hAnsi="標楷體"/>
        </w:rPr>
      </w:pPr>
      <w:r w:rsidRPr="003F472E">
        <w:rPr>
          <w:rFonts w:ascii="標楷體" w:eastAsia="標楷體" w:hAnsi="標楷體" w:hint="eastAsia"/>
        </w:rPr>
        <w:t>第12條</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國民中小學就學生之成績評量結果，應妥為保存及管理，並維護個人隱私與權益；其評量結果及紀錄處理，應依個人資料保護法規相關規定辦理。</w:t>
      </w:r>
    </w:p>
    <w:p w:rsidR="003F472E" w:rsidRPr="003F472E" w:rsidRDefault="003F472E" w:rsidP="003F472E">
      <w:pPr>
        <w:rPr>
          <w:rFonts w:ascii="標楷體" w:eastAsia="標楷體" w:hAnsi="標楷體"/>
        </w:rPr>
      </w:pPr>
      <w:r w:rsidRPr="003F472E">
        <w:rPr>
          <w:rFonts w:ascii="標楷體" w:eastAsia="標楷體" w:hAnsi="標楷體" w:hint="eastAsia"/>
        </w:rPr>
        <w:t>第13條</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為瞭解並確保國民中學學生學力品質，應由教育部會同直轄市、縣（市）政府辦理國中教育會考（以下簡稱教育會考），其辦理方式如下：</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一、中華民國一百零三年起每年五月針對國民中學</w:t>
      </w:r>
      <w:proofErr w:type="gramStart"/>
      <w:r w:rsidRPr="003F472E">
        <w:rPr>
          <w:rFonts w:ascii="標楷體" w:eastAsia="標楷體" w:hAnsi="標楷體" w:hint="eastAsia"/>
        </w:rPr>
        <w:t>三</w:t>
      </w:r>
      <w:proofErr w:type="gramEnd"/>
      <w:r w:rsidRPr="003F472E">
        <w:rPr>
          <w:rFonts w:ascii="標楷體" w:eastAsia="標楷體" w:hAnsi="標楷體" w:hint="eastAsia"/>
        </w:rPr>
        <w:t>年級學生統一舉辦，評量科目為國文、英語、數學、社會及自然五科及寫作測驗。</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二、由專業評量機構負責命題、</w:t>
      </w:r>
      <w:proofErr w:type="gramStart"/>
      <w:r w:rsidRPr="003F472E">
        <w:rPr>
          <w:rFonts w:ascii="標楷體" w:eastAsia="標楷體" w:hAnsi="標楷體" w:hint="eastAsia"/>
        </w:rPr>
        <w:t>組卷</w:t>
      </w:r>
      <w:proofErr w:type="gramEnd"/>
      <w:r w:rsidRPr="003F472E">
        <w:rPr>
          <w:rFonts w:ascii="標楷體" w:eastAsia="標楷體" w:hAnsi="標楷體" w:hint="eastAsia"/>
        </w:rPr>
        <w:t>、閱卷與試</w:t>
      </w:r>
      <w:proofErr w:type="gramStart"/>
      <w:r w:rsidRPr="003F472E">
        <w:rPr>
          <w:rFonts w:ascii="標楷體" w:eastAsia="標楷體" w:hAnsi="標楷體" w:hint="eastAsia"/>
        </w:rPr>
        <w:t>務</w:t>
      </w:r>
      <w:proofErr w:type="gramEnd"/>
      <w:r w:rsidRPr="003F472E">
        <w:rPr>
          <w:rFonts w:ascii="標楷體" w:eastAsia="標楷體" w:hAnsi="標楷體" w:hint="eastAsia"/>
        </w:rPr>
        <w:t>工作，以達公平客觀並實踐國家課程目標。</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三、教育會考之結果供學生、教師、學校、家長及主管機關瞭解學生學習品質及其他相關法規規定之使用。但不得納入在校學習評量成績計算。</w:t>
      </w:r>
    </w:p>
    <w:p w:rsidR="003F472E" w:rsidRPr="003F472E" w:rsidRDefault="003F472E" w:rsidP="003F472E">
      <w:pPr>
        <w:rPr>
          <w:rFonts w:ascii="標楷體" w:eastAsia="標楷體" w:hAnsi="標楷體"/>
        </w:rPr>
      </w:pPr>
      <w:r w:rsidRPr="003F472E">
        <w:rPr>
          <w:rFonts w:ascii="標楷體" w:eastAsia="標楷體" w:hAnsi="標楷體" w:hint="eastAsia"/>
        </w:rPr>
        <w:t>第14條</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國民中小學學生各項成績評量相關表冊，由直轄市、縣（市）政府定之。</w:t>
      </w:r>
    </w:p>
    <w:p w:rsidR="003F472E" w:rsidRPr="003F472E" w:rsidRDefault="003F472E" w:rsidP="003F472E">
      <w:pPr>
        <w:rPr>
          <w:rFonts w:ascii="標楷體" w:eastAsia="標楷體" w:hAnsi="標楷體"/>
        </w:rPr>
      </w:pPr>
      <w:r w:rsidRPr="003F472E">
        <w:rPr>
          <w:rFonts w:ascii="標楷體" w:eastAsia="標楷體" w:hAnsi="標楷體" w:hint="eastAsia"/>
        </w:rPr>
        <w:t>第15條</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國民中學為輔導學生升學所辦理之模擬升學測驗，其成績不得納入學生評量成績計算；相關處理原則，依教育部之規定。</w:t>
      </w:r>
    </w:p>
    <w:p w:rsidR="003F472E" w:rsidRPr="003F472E" w:rsidRDefault="003F472E" w:rsidP="003F472E">
      <w:pPr>
        <w:rPr>
          <w:rFonts w:ascii="標楷體" w:eastAsia="標楷體" w:hAnsi="標楷體"/>
        </w:rPr>
      </w:pPr>
      <w:r w:rsidRPr="003F472E">
        <w:rPr>
          <w:rFonts w:ascii="標楷體" w:eastAsia="標楷體" w:hAnsi="標楷體" w:hint="eastAsia"/>
        </w:rPr>
        <w:t>第16條</w:t>
      </w:r>
    </w:p>
    <w:p w:rsidR="003F472E" w:rsidRPr="003F472E" w:rsidRDefault="003F472E" w:rsidP="003F472E">
      <w:pPr>
        <w:rPr>
          <w:rFonts w:ascii="標楷體" w:eastAsia="標楷體" w:hAnsi="標楷體"/>
        </w:rPr>
      </w:pPr>
      <w:r w:rsidRPr="003F472E">
        <w:rPr>
          <w:rFonts w:ascii="標楷體" w:eastAsia="標楷體" w:hAnsi="標楷體" w:hint="eastAsia"/>
        </w:rPr>
        <w:t xml:space="preserve">　　本準則自中華民國一百零一年八月一日施行。</w:t>
      </w:r>
    </w:p>
    <w:p w:rsidR="001862BC" w:rsidRPr="003F472E" w:rsidRDefault="001862BC">
      <w:pPr>
        <w:rPr>
          <w:rFonts w:ascii="標楷體" w:eastAsia="標楷體" w:hAnsi="標楷體"/>
        </w:rPr>
      </w:pPr>
    </w:p>
    <w:sectPr w:rsidR="001862BC" w:rsidRPr="003F472E" w:rsidSect="001862B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472E"/>
    <w:rsid w:val="001862BC"/>
    <w:rsid w:val="00195F1C"/>
    <w:rsid w:val="003F472E"/>
    <w:rsid w:val="00503ECC"/>
    <w:rsid w:val="005E43C1"/>
    <w:rsid w:val="00613D51"/>
    <w:rsid w:val="00726B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2B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3252662">
      <w:bodyDiv w:val="1"/>
      <w:marLeft w:val="0"/>
      <w:marRight w:val="0"/>
      <w:marTop w:val="0"/>
      <w:marBottom w:val="0"/>
      <w:divBdr>
        <w:top w:val="none" w:sz="0" w:space="0" w:color="auto"/>
        <w:left w:val="none" w:sz="0" w:space="0" w:color="auto"/>
        <w:bottom w:val="none" w:sz="0" w:space="0" w:color="auto"/>
        <w:right w:val="none" w:sz="0" w:space="0" w:color="auto"/>
      </w:divBdr>
      <w:divsChild>
        <w:div w:id="1033461681">
          <w:marLeft w:val="0"/>
          <w:marRight w:val="0"/>
          <w:marTop w:val="0"/>
          <w:marBottom w:val="0"/>
          <w:divBdr>
            <w:top w:val="none" w:sz="0" w:space="0" w:color="auto"/>
            <w:left w:val="none" w:sz="0" w:space="0" w:color="auto"/>
            <w:bottom w:val="none" w:sz="0" w:space="0" w:color="auto"/>
            <w:right w:val="none" w:sz="0" w:space="0" w:color="auto"/>
          </w:divBdr>
        </w:div>
        <w:div w:id="912005422">
          <w:marLeft w:val="0"/>
          <w:marRight w:val="0"/>
          <w:marTop w:val="0"/>
          <w:marBottom w:val="0"/>
          <w:divBdr>
            <w:top w:val="none" w:sz="0" w:space="0" w:color="auto"/>
            <w:left w:val="none" w:sz="0" w:space="0" w:color="auto"/>
            <w:bottom w:val="none" w:sz="0" w:space="0" w:color="auto"/>
            <w:right w:val="none" w:sz="0" w:space="0" w:color="auto"/>
          </w:divBdr>
        </w:div>
        <w:div w:id="2095392580">
          <w:marLeft w:val="0"/>
          <w:marRight w:val="0"/>
          <w:marTop w:val="0"/>
          <w:marBottom w:val="0"/>
          <w:divBdr>
            <w:top w:val="none" w:sz="0" w:space="0" w:color="auto"/>
            <w:left w:val="none" w:sz="0" w:space="0" w:color="auto"/>
            <w:bottom w:val="none" w:sz="0" w:space="0" w:color="auto"/>
            <w:right w:val="none" w:sz="0" w:space="0" w:color="auto"/>
          </w:divBdr>
        </w:div>
        <w:div w:id="1801606037">
          <w:marLeft w:val="0"/>
          <w:marRight w:val="0"/>
          <w:marTop w:val="0"/>
          <w:marBottom w:val="0"/>
          <w:divBdr>
            <w:top w:val="none" w:sz="0" w:space="0" w:color="auto"/>
            <w:left w:val="none" w:sz="0" w:space="0" w:color="auto"/>
            <w:bottom w:val="none" w:sz="0" w:space="0" w:color="auto"/>
            <w:right w:val="none" w:sz="0" w:space="0" w:color="auto"/>
          </w:divBdr>
        </w:div>
        <w:div w:id="435708705">
          <w:marLeft w:val="0"/>
          <w:marRight w:val="0"/>
          <w:marTop w:val="0"/>
          <w:marBottom w:val="0"/>
          <w:divBdr>
            <w:top w:val="none" w:sz="0" w:space="0" w:color="auto"/>
            <w:left w:val="none" w:sz="0" w:space="0" w:color="auto"/>
            <w:bottom w:val="none" w:sz="0" w:space="0" w:color="auto"/>
            <w:right w:val="none" w:sz="0" w:space="0" w:color="auto"/>
          </w:divBdr>
        </w:div>
        <w:div w:id="385110988">
          <w:marLeft w:val="0"/>
          <w:marRight w:val="0"/>
          <w:marTop w:val="0"/>
          <w:marBottom w:val="0"/>
          <w:divBdr>
            <w:top w:val="none" w:sz="0" w:space="0" w:color="auto"/>
            <w:left w:val="none" w:sz="0" w:space="0" w:color="auto"/>
            <w:bottom w:val="none" w:sz="0" w:space="0" w:color="auto"/>
            <w:right w:val="none" w:sz="0" w:space="0" w:color="auto"/>
          </w:divBdr>
        </w:div>
        <w:div w:id="1218325025">
          <w:marLeft w:val="0"/>
          <w:marRight w:val="0"/>
          <w:marTop w:val="0"/>
          <w:marBottom w:val="0"/>
          <w:divBdr>
            <w:top w:val="none" w:sz="0" w:space="0" w:color="auto"/>
            <w:left w:val="none" w:sz="0" w:space="0" w:color="auto"/>
            <w:bottom w:val="none" w:sz="0" w:space="0" w:color="auto"/>
            <w:right w:val="none" w:sz="0" w:space="0" w:color="auto"/>
          </w:divBdr>
        </w:div>
        <w:div w:id="897403618">
          <w:marLeft w:val="0"/>
          <w:marRight w:val="0"/>
          <w:marTop w:val="0"/>
          <w:marBottom w:val="0"/>
          <w:divBdr>
            <w:top w:val="none" w:sz="0" w:space="0" w:color="auto"/>
            <w:left w:val="none" w:sz="0" w:space="0" w:color="auto"/>
            <w:bottom w:val="none" w:sz="0" w:space="0" w:color="auto"/>
            <w:right w:val="none" w:sz="0" w:space="0" w:color="auto"/>
          </w:divBdr>
        </w:div>
        <w:div w:id="1390691312">
          <w:marLeft w:val="0"/>
          <w:marRight w:val="0"/>
          <w:marTop w:val="0"/>
          <w:marBottom w:val="0"/>
          <w:divBdr>
            <w:top w:val="none" w:sz="0" w:space="0" w:color="auto"/>
            <w:left w:val="none" w:sz="0" w:space="0" w:color="auto"/>
            <w:bottom w:val="none" w:sz="0" w:space="0" w:color="auto"/>
            <w:right w:val="none" w:sz="0" w:space="0" w:color="auto"/>
          </w:divBdr>
        </w:div>
        <w:div w:id="1926986661">
          <w:marLeft w:val="0"/>
          <w:marRight w:val="0"/>
          <w:marTop w:val="0"/>
          <w:marBottom w:val="0"/>
          <w:divBdr>
            <w:top w:val="none" w:sz="0" w:space="0" w:color="auto"/>
            <w:left w:val="none" w:sz="0" w:space="0" w:color="auto"/>
            <w:bottom w:val="none" w:sz="0" w:space="0" w:color="auto"/>
            <w:right w:val="none" w:sz="0" w:space="0" w:color="auto"/>
          </w:divBdr>
        </w:div>
        <w:div w:id="579294369">
          <w:marLeft w:val="0"/>
          <w:marRight w:val="0"/>
          <w:marTop w:val="0"/>
          <w:marBottom w:val="0"/>
          <w:divBdr>
            <w:top w:val="none" w:sz="0" w:space="0" w:color="auto"/>
            <w:left w:val="none" w:sz="0" w:space="0" w:color="auto"/>
            <w:bottom w:val="none" w:sz="0" w:space="0" w:color="auto"/>
            <w:right w:val="none" w:sz="0" w:space="0" w:color="auto"/>
          </w:divBdr>
        </w:div>
        <w:div w:id="978461069">
          <w:marLeft w:val="0"/>
          <w:marRight w:val="0"/>
          <w:marTop w:val="0"/>
          <w:marBottom w:val="0"/>
          <w:divBdr>
            <w:top w:val="none" w:sz="0" w:space="0" w:color="auto"/>
            <w:left w:val="none" w:sz="0" w:space="0" w:color="auto"/>
            <w:bottom w:val="none" w:sz="0" w:space="0" w:color="auto"/>
            <w:right w:val="none" w:sz="0" w:space="0" w:color="auto"/>
          </w:divBdr>
        </w:div>
        <w:div w:id="797383105">
          <w:marLeft w:val="0"/>
          <w:marRight w:val="0"/>
          <w:marTop w:val="0"/>
          <w:marBottom w:val="0"/>
          <w:divBdr>
            <w:top w:val="none" w:sz="0" w:space="0" w:color="auto"/>
            <w:left w:val="none" w:sz="0" w:space="0" w:color="auto"/>
            <w:bottom w:val="none" w:sz="0" w:space="0" w:color="auto"/>
            <w:right w:val="none" w:sz="0" w:space="0" w:color="auto"/>
          </w:divBdr>
        </w:div>
        <w:div w:id="251741920">
          <w:marLeft w:val="0"/>
          <w:marRight w:val="0"/>
          <w:marTop w:val="0"/>
          <w:marBottom w:val="0"/>
          <w:divBdr>
            <w:top w:val="none" w:sz="0" w:space="0" w:color="auto"/>
            <w:left w:val="none" w:sz="0" w:space="0" w:color="auto"/>
            <w:bottom w:val="none" w:sz="0" w:space="0" w:color="auto"/>
            <w:right w:val="none" w:sz="0" w:space="0" w:color="auto"/>
          </w:divBdr>
        </w:div>
        <w:div w:id="627052094">
          <w:marLeft w:val="0"/>
          <w:marRight w:val="0"/>
          <w:marTop w:val="0"/>
          <w:marBottom w:val="0"/>
          <w:divBdr>
            <w:top w:val="none" w:sz="0" w:space="0" w:color="auto"/>
            <w:left w:val="none" w:sz="0" w:space="0" w:color="auto"/>
            <w:bottom w:val="none" w:sz="0" w:space="0" w:color="auto"/>
            <w:right w:val="none" w:sz="0" w:space="0" w:color="auto"/>
          </w:divBdr>
        </w:div>
        <w:div w:id="1824812753">
          <w:marLeft w:val="0"/>
          <w:marRight w:val="0"/>
          <w:marTop w:val="0"/>
          <w:marBottom w:val="0"/>
          <w:divBdr>
            <w:top w:val="none" w:sz="0" w:space="0" w:color="auto"/>
            <w:left w:val="none" w:sz="0" w:space="0" w:color="auto"/>
            <w:bottom w:val="none" w:sz="0" w:space="0" w:color="auto"/>
            <w:right w:val="none" w:sz="0" w:space="0" w:color="auto"/>
          </w:divBdr>
        </w:div>
        <w:div w:id="1944459883">
          <w:marLeft w:val="0"/>
          <w:marRight w:val="0"/>
          <w:marTop w:val="0"/>
          <w:marBottom w:val="0"/>
          <w:divBdr>
            <w:top w:val="none" w:sz="0" w:space="0" w:color="auto"/>
            <w:left w:val="none" w:sz="0" w:space="0" w:color="auto"/>
            <w:bottom w:val="none" w:sz="0" w:space="0" w:color="auto"/>
            <w:right w:val="none" w:sz="0" w:space="0" w:color="auto"/>
          </w:divBdr>
        </w:div>
        <w:div w:id="4552406">
          <w:marLeft w:val="0"/>
          <w:marRight w:val="0"/>
          <w:marTop w:val="0"/>
          <w:marBottom w:val="0"/>
          <w:divBdr>
            <w:top w:val="none" w:sz="0" w:space="0" w:color="auto"/>
            <w:left w:val="none" w:sz="0" w:space="0" w:color="auto"/>
            <w:bottom w:val="none" w:sz="0" w:space="0" w:color="auto"/>
            <w:right w:val="none" w:sz="0" w:space="0" w:color="auto"/>
          </w:divBdr>
        </w:div>
        <w:div w:id="401561088">
          <w:marLeft w:val="0"/>
          <w:marRight w:val="0"/>
          <w:marTop w:val="0"/>
          <w:marBottom w:val="0"/>
          <w:divBdr>
            <w:top w:val="none" w:sz="0" w:space="0" w:color="auto"/>
            <w:left w:val="none" w:sz="0" w:space="0" w:color="auto"/>
            <w:bottom w:val="none" w:sz="0" w:space="0" w:color="auto"/>
            <w:right w:val="none" w:sz="0" w:space="0" w:color="auto"/>
          </w:divBdr>
        </w:div>
        <w:div w:id="1648821433">
          <w:marLeft w:val="0"/>
          <w:marRight w:val="0"/>
          <w:marTop w:val="0"/>
          <w:marBottom w:val="0"/>
          <w:divBdr>
            <w:top w:val="none" w:sz="0" w:space="0" w:color="auto"/>
            <w:left w:val="none" w:sz="0" w:space="0" w:color="auto"/>
            <w:bottom w:val="none" w:sz="0" w:space="0" w:color="auto"/>
            <w:right w:val="none" w:sz="0" w:space="0" w:color="auto"/>
          </w:divBdr>
        </w:div>
        <w:div w:id="866529228">
          <w:marLeft w:val="0"/>
          <w:marRight w:val="0"/>
          <w:marTop w:val="0"/>
          <w:marBottom w:val="0"/>
          <w:divBdr>
            <w:top w:val="none" w:sz="0" w:space="0" w:color="auto"/>
            <w:left w:val="none" w:sz="0" w:space="0" w:color="auto"/>
            <w:bottom w:val="none" w:sz="0" w:space="0" w:color="auto"/>
            <w:right w:val="none" w:sz="0" w:space="0" w:color="auto"/>
          </w:divBdr>
        </w:div>
        <w:div w:id="1266037542">
          <w:marLeft w:val="0"/>
          <w:marRight w:val="0"/>
          <w:marTop w:val="0"/>
          <w:marBottom w:val="0"/>
          <w:divBdr>
            <w:top w:val="none" w:sz="0" w:space="0" w:color="auto"/>
            <w:left w:val="none" w:sz="0" w:space="0" w:color="auto"/>
            <w:bottom w:val="none" w:sz="0" w:space="0" w:color="auto"/>
            <w:right w:val="none" w:sz="0" w:space="0" w:color="auto"/>
          </w:divBdr>
        </w:div>
        <w:div w:id="1106580182">
          <w:marLeft w:val="0"/>
          <w:marRight w:val="0"/>
          <w:marTop w:val="0"/>
          <w:marBottom w:val="0"/>
          <w:divBdr>
            <w:top w:val="none" w:sz="0" w:space="0" w:color="auto"/>
            <w:left w:val="none" w:sz="0" w:space="0" w:color="auto"/>
            <w:bottom w:val="none" w:sz="0" w:space="0" w:color="auto"/>
            <w:right w:val="none" w:sz="0" w:space="0" w:color="auto"/>
          </w:divBdr>
        </w:div>
        <w:div w:id="525827274">
          <w:marLeft w:val="0"/>
          <w:marRight w:val="0"/>
          <w:marTop w:val="0"/>
          <w:marBottom w:val="0"/>
          <w:divBdr>
            <w:top w:val="none" w:sz="0" w:space="0" w:color="auto"/>
            <w:left w:val="none" w:sz="0" w:space="0" w:color="auto"/>
            <w:bottom w:val="none" w:sz="0" w:space="0" w:color="auto"/>
            <w:right w:val="none" w:sz="0" w:space="0" w:color="auto"/>
          </w:divBdr>
        </w:div>
        <w:div w:id="1924026310">
          <w:marLeft w:val="0"/>
          <w:marRight w:val="0"/>
          <w:marTop w:val="0"/>
          <w:marBottom w:val="0"/>
          <w:divBdr>
            <w:top w:val="none" w:sz="0" w:space="0" w:color="auto"/>
            <w:left w:val="none" w:sz="0" w:space="0" w:color="auto"/>
            <w:bottom w:val="none" w:sz="0" w:space="0" w:color="auto"/>
            <w:right w:val="none" w:sz="0" w:space="0" w:color="auto"/>
          </w:divBdr>
        </w:div>
        <w:div w:id="1804350447">
          <w:marLeft w:val="0"/>
          <w:marRight w:val="0"/>
          <w:marTop w:val="0"/>
          <w:marBottom w:val="0"/>
          <w:divBdr>
            <w:top w:val="none" w:sz="0" w:space="0" w:color="auto"/>
            <w:left w:val="none" w:sz="0" w:space="0" w:color="auto"/>
            <w:bottom w:val="none" w:sz="0" w:space="0" w:color="auto"/>
            <w:right w:val="none" w:sz="0" w:space="0" w:color="auto"/>
          </w:divBdr>
        </w:div>
        <w:div w:id="2139641723">
          <w:marLeft w:val="0"/>
          <w:marRight w:val="0"/>
          <w:marTop w:val="0"/>
          <w:marBottom w:val="0"/>
          <w:divBdr>
            <w:top w:val="none" w:sz="0" w:space="0" w:color="auto"/>
            <w:left w:val="none" w:sz="0" w:space="0" w:color="auto"/>
            <w:bottom w:val="none" w:sz="0" w:space="0" w:color="auto"/>
            <w:right w:val="none" w:sz="0" w:space="0" w:color="auto"/>
          </w:divBdr>
        </w:div>
        <w:div w:id="852765646">
          <w:marLeft w:val="0"/>
          <w:marRight w:val="0"/>
          <w:marTop w:val="0"/>
          <w:marBottom w:val="0"/>
          <w:divBdr>
            <w:top w:val="none" w:sz="0" w:space="0" w:color="auto"/>
            <w:left w:val="none" w:sz="0" w:space="0" w:color="auto"/>
            <w:bottom w:val="none" w:sz="0" w:space="0" w:color="auto"/>
            <w:right w:val="none" w:sz="0" w:space="0" w:color="auto"/>
          </w:divBdr>
        </w:div>
        <w:div w:id="226958247">
          <w:marLeft w:val="0"/>
          <w:marRight w:val="0"/>
          <w:marTop w:val="0"/>
          <w:marBottom w:val="0"/>
          <w:divBdr>
            <w:top w:val="none" w:sz="0" w:space="0" w:color="auto"/>
            <w:left w:val="none" w:sz="0" w:space="0" w:color="auto"/>
            <w:bottom w:val="none" w:sz="0" w:space="0" w:color="auto"/>
            <w:right w:val="none" w:sz="0" w:space="0" w:color="auto"/>
          </w:divBdr>
        </w:div>
        <w:div w:id="1886091125">
          <w:marLeft w:val="0"/>
          <w:marRight w:val="0"/>
          <w:marTop w:val="0"/>
          <w:marBottom w:val="0"/>
          <w:divBdr>
            <w:top w:val="none" w:sz="0" w:space="0" w:color="auto"/>
            <w:left w:val="none" w:sz="0" w:space="0" w:color="auto"/>
            <w:bottom w:val="none" w:sz="0" w:space="0" w:color="auto"/>
            <w:right w:val="none" w:sz="0" w:space="0" w:color="auto"/>
          </w:divBdr>
        </w:div>
        <w:div w:id="1853839402">
          <w:marLeft w:val="0"/>
          <w:marRight w:val="0"/>
          <w:marTop w:val="0"/>
          <w:marBottom w:val="0"/>
          <w:divBdr>
            <w:top w:val="none" w:sz="0" w:space="0" w:color="auto"/>
            <w:left w:val="none" w:sz="0" w:space="0" w:color="auto"/>
            <w:bottom w:val="none" w:sz="0" w:space="0" w:color="auto"/>
            <w:right w:val="none" w:sz="0" w:space="0" w:color="auto"/>
          </w:divBdr>
        </w:div>
        <w:div w:id="1577595506">
          <w:marLeft w:val="0"/>
          <w:marRight w:val="0"/>
          <w:marTop w:val="0"/>
          <w:marBottom w:val="0"/>
          <w:divBdr>
            <w:top w:val="none" w:sz="0" w:space="0" w:color="auto"/>
            <w:left w:val="none" w:sz="0" w:space="0" w:color="auto"/>
            <w:bottom w:val="none" w:sz="0" w:space="0" w:color="auto"/>
            <w:right w:val="none" w:sz="0" w:space="0" w:color="auto"/>
          </w:divBdr>
        </w:div>
        <w:div w:id="1741126285">
          <w:marLeft w:val="0"/>
          <w:marRight w:val="0"/>
          <w:marTop w:val="0"/>
          <w:marBottom w:val="0"/>
          <w:divBdr>
            <w:top w:val="none" w:sz="0" w:space="0" w:color="auto"/>
            <w:left w:val="none" w:sz="0" w:space="0" w:color="auto"/>
            <w:bottom w:val="none" w:sz="0" w:space="0" w:color="auto"/>
            <w:right w:val="none" w:sz="0" w:space="0" w:color="auto"/>
          </w:divBdr>
        </w:div>
        <w:div w:id="64608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owner12</dc:creator>
  <cp:keywords/>
  <dc:description/>
  <cp:lastModifiedBy>owner12</cp:lastModifiedBy>
  <cp:revision>3</cp:revision>
  <dcterms:created xsi:type="dcterms:W3CDTF">2017-06-24T03:12:00Z</dcterms:created>
  <dcterms:modified xsi:type="dcterms:W3CDTF">2017-06-24T03:30:00Z</dcterms:modified>
</cp:coreProperties>
</file>