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0433" w:type="dxa"/>
        <w:gridCol w:w="400" w:type="dxa"/>
        <w:gridCol w:w="10433" w:type="dxa"/>
      </w:tblGrid>
      <w:tr>
        <w:trPr/>
        <w:tc>
          <w:tcPr>
            <w:tcW w:w="20866" w:type="dxa"/>
            <w:gridSpan w:val="3"/>
          </w:tcPr>
          <w:p>
            <w:pPr>
              <w:jc w:val="center"/>
              <w:spacing w:line="320" w:lineRule="auto"/>
            </w:pPr>
            <w:r>
              <w:rPr>
                <w:rFonts w:ascii="標楷體" w:hAnsi="標楷體" w:eastAsia="標楷體" w:cs="標楷體"/>
                <w:lang w:val="en-US" w:eastAsia="zh-CN"/>
                <w:sz w:val="40"/>
                <w:szCs w:val="40"/>
              </w:rPr>
              <w:t xml:space="preserve">113 年全國語文競賽臺灣原住民族語言朗讀文章【丹群布農語】 國中組學生組 編號 1 號</w:t>
            </w:r>
          </w:p>
        </w:tc>
      </w:tr>
      <w:tr>
        <w:trPr/>
        <w:tc>
          <w:tcPr>
            <w:tcW w:w="20866" w:type="dxa"/>
            <w:gridSpan w:val="3"/>
          </w:tcPr>
          <w:p>
            <w:pPr>
              <w:jc w:val="center"/>
              <w:spacing w:line="320" w:lineRule="auto"/>
            </w:pPr>
            <w:r>
              <w:rPr>
                <w:rFonts w:ascii="Times New Roman" w:hAnsi="Times New Roman" w:eastAsia="Times New Roman" w:cs="Times New Roman"/>
                <w:sz w:val="40"/>
                <w:szCs w:val="40"/>
              </w:rPr>
              <w:t xml:space="preserve">Lukis Tu Paliqabasan</w:t>
            </w:r>
          </w:p>
        </w:tc>
      </w:tr>
      <w:tr>
        <w:trPr/>
        <w:tc>
          <w:tcPr>
            <w:tcW w:w="10433" w:type="dxa"/>
          </w:tcPr>
          <w:p>
            <w:pPr>
              <w:jc w:val="left"/>
              <w:spacing w:line="300" w:lineRule="auto"/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  <w:t xml:space="preserve">    Maaq dau qabasang Bunun miqumis a mananu tu malsisihal a iniqumisan. Maqei mapit’ia ka nii tu tinlukis, kan’anak a lukis mulumaq. Maqansiap dau amin lukis a mapababazbaz i Bunun, anaak aipa masailang tu isaq lumaq a uka’an Lukis. Maqei maqa lumaq a qalasun tu malsauqzanga, sia dau qumisang tu lukis siin nii tu maluqluq tu saanga mulumaq. Maqei abuqan a tastulumaq a, sia dau mabubulsuk lukis siin maluluqluq tu saanga kan’anak mulumaq. </w:t>
            </w:r>
          </w:p>
          <w:p>
            <w:pPr>
              <w:jc w:val="left"/>
              <w:spacing w:line="300" w:lineRule="auto"/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  <w:t xml:space="preserve">    Haiza tu tas’a qanian, kan’anak a lukisa munhaan Bunun tu lumaq. Haiza dau tatini binanau’az tupaun ngaan tu Uli, ilumaq aipa matitindun i paliqutan; samuqi maaq dau ka lukis a an’qalqal i is’uslun tu qaimangsut, mindikla’in. Mahau daingaz a binanau’aza. Tupa binanau’aza tu, “Kama’aq amuu mulumaq ti tu? Ipin munata! Maqei ikma’ia aam lukisa na’anak aam siza.” Nii tu patalmadia, aminin a lukis sanmatilain maisnahaan pipit’aian pasi’adas musuqis munbaav. Maaq a lukisa a masu’nuq daingaz amin, Maaq a binanau’az a putusputusang babazbaz. Tupa aipa tu, “Na azaq tuza amuu tu? Ipin amuu mudaan. Aii!”</w:t>
            </w:r>
          </w:p>
          <w:p>
            <w:pPr>
              <w:jc w:val="left"/>
              <w:spacing w:line="300" w:lineRule="auto"/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  <w:t xml:space="preserve"/>
            </w:r>
          </w:p>
        </w:tc>
        <w:tc>
          <w:tcPr>
            <w:tcW w:w="400" w:type="dxa"/>
          </w:tcPr>
          <w:p/>
        </w:tc>
        <w:tc>
          <w:tcPr>
            <w:tcW w:w="10433" w:type="dxa"/>
          </w:tcPr>
          <w:p>
            <w:pPr>
              <w:jc w:val="left"/>
              <w:spacing w:line="300" w:lineRule="auto"/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  <w:t xml:space="preserve">    Antalam amin lukis tu, “Na maisnalaupaku, ni’in aam lunglu’nguan anaak munhaan Bunun tu lumaq!” Tupa binanau’aza tu, “Ipin amuu mudaan! Azaq amuu! Maqtu aam kan’anak tinlukis!” Tinsu’nuq amin a lukisa, matin’amin dau ka lukis, saang, haizang dau ka kitda siin habul sasbai lumaq ta. Mainatudipin, ni’in a lukis kan’anak mulumaq. Taunalaqbingin, minsuma’in bananaz istaa mainaludun qainanup a, Kalumaqin a saduu aipa inaita pipit’aian, uka san tas’a lukis saduan, Kan’anak aipa minliskin tu maviain a lukis tu ni’in kan’anak mulumaq ti tu?</w:t>
            </w:r>
          </w:p>
          <w:p>
            <w:pPr>
              <w:jc w:val="left"/>
              <w:spacing w:line="300" w:lineRule="auto"/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  <w:t xml:space="preserve">    Tupaun istaa isiata binanau’az tu makuaq tutuza dau tu? Titi’ti a binanau’az ta is’aang, ni’in niap tu na tukauq, mapising aipa duu na kahau’un. Sisipulun istaa binanau’aza, “Su’u ka qalmang kamazav mahau i lukis ta. Paqpun ni’in na lukis kan’anak mulumaq ti.” Mainatudipin maaq a Bunun maqei mapit’ia ka, Asa tu anakin munbaav tinlukis ansaqan mapulumaq, na tudipin haiza Lukis ispisdua maqtu mapit’ia ki na kaunun i tastulumaq bunun.</w:t>
            </w:r>
          </w:p>
        </w:tc>
      </w:tr>
    </w:tbl>
    <w:p>
      <w:pPr>
        <w:sectPr>
          <w:pgSz w:orient="portrait" w:w="23814" w:h="16840"/>
          <w:pgMar w:top="1134" w:right="1474" w:bottom="1134" w:left="1474" w:header="720" w:footer="720" w:gutter="0"/>
          <w:cols w:num="1" w:space="720"/>
        </w:sectPr>
      </w:pPr>
    </w:p>
    <w:tbl>
      <w:tblGrid>
        <w:gridCol w:w="10433" w:type="dxa"/>
        <w:gridCol w:w="400" w:type="dxa"/>
        <w:gridCol w:w="10433" w:type="dxa"/>
      </w:tblGrid>
      <w:tr>
        <w:trPr/>
        <w:tc>
          <w:tcPr>
            <w:tcW w:w="20866" w:type="dxa"/>
            <w:gridSpan w:val="3"/>
          </w:tcPr>
          <w:p>
            <w:pPr>
              <w:jc w:val="center"/>
              <w:spacing w:line="320" w:lineRule="auto"/>
            </w:pPr>
            <w:r>
              <w:rPr>
                <w:rFonts w:ascii="標楷體" w:hAnsi="標楷體" w:eastAsia="標楷體" w:cs="標楷體"/>
                <w:lang w:val="en-US" w:eastAsia="zh-CN"/>
                <w:sz w:val="40"/>
                <w:szCs w:val="40"/>
              </w:rPr>
              <w:t xml:space="preserve">113 年全國語文競賽臺灣原住民族語言朗讀文章【丹群布農語】 國中組學生組 編號 1 號</w:t>
            </w:r>
          </w:p>
        </w:tc>
      </w:tr>
      <w:tr>
        <w:trPr/>
        <w:tc>
          <w:tcPr>
            <w:tcW w:w="20866" w:type="dxa"/>
            <w:gridSpan w:val="3"/>
          </w:tcPr>
          <w:p>
            <w:pPr>
              <w:jc w:val="center"/>
              <w:spacing w:line="300" w:lineRule="auto"/>
            </w:pPr>
            <w:r>
              <w:rPr>
                <w:rFonts w:ascii="標楷體" w:hAnsi="標楷體" w:eastAsia="標楷體" w:cs="標楷體"/>
                <w:lang w:val="en-US" w:eastAsia="zh-CN"/>
                <w:sz w:val="40"/>
                <w:szCs w:val="40"/>
              </w:rPr>
              <w:t xml:space="preserve">柴火的故事</w:t>
            </w:r>
          </w:p>
        </w:tc>
      </w:tr>
      <w:tr>
        <w:trPr/>
        <w:tc>
          <w:tcPr>
            <w:tcW w:w="10433" w:type="dxa"/>
          </w:tcPr>
          <w:p>
            <w:pPr>
              <w:jc w:val="left"/>
              <w:spacing w:line="300" w:lineRule="auto"/>
            </w:pPr>
            <w:r>
              <w:rPr>
                <w:rFonts w:ascii="標楷體" w:hAnsi="標楷體" w:eastAsia="標楷體" w:cs="標楷體"/>
                <w:lang w:val="en-US" w:eastAsia="zh-CN"/>
                <w:sz w:val="32"/>
                <w:szCs w:val="32"/>
              </w:rPr>
              <w:t xml:space="preserve">    古代生活很幸福，煮飯不用去山上去取柴火，柴火會自己到家裡，從前的柴火會和人說話，也會觀察哪家沒柴火，假如這家貧窮又飢餓，生濕的木材、不易起火的柴火，會自己走到別人家，如果家裡是溫飽的，那個乾的木柴、易燃的柴火會自己走進家裡。</w:t>
            </w:r>
          </w:p>
          <w:p>
            <w:pPr>
              <w:jc w:val="left"/>
              <w:spacing w:line="300" w:lineRule="auto"/>
            </w:pPr>
            <w:r>
              <w:rPr>
                <w:rFonts w:ascii="標楷體" w:hAnsi="標楷體" w:eastAsia="標楷體" w:cs="標楷體"/>
                <w:lang w:val="en-US" w:eastAsia="zh-CN"/>
                <w:sz w:val="32"/>
                <w:szCs w:val="32"/>
              </w:rPr>
              <w:t xml:space="preserve">    有天，木柴又自己走到別人家，婦女Uli在家裡編織族服背心，結果木柴碰掉打板工具。婦女非常生氣：「你們幹嘛進來家裡！出去！我們要用木柴，我們自己會拿，沒多久，木柴全部起身返回山上。木柴非常生氣，婦女仍喋喋不休。</w:t>
            </w:r>
          </w:p>
          <w:p>
            <w:pPr>
              <w:jc w:val="left"/>
              <w:spacing w:line="300" w:lineRule="auto"/>
            </w:pPr>
            <w:r>
              <w:rPr>
                <w:rFonts w:ascii="標楷體" w:hAnsi="標楷體" w:eastAsia="標楷體" w:cs="標楷體"/>
                <w:lang w:val="en-US" w:eastAsia="zh-CN"/>
                <w:sz w:val="32"/>
                <w:szCs w:val="32"/>
              </w:rPr>
              <w:t xml:space="preserve"/>
            </w:r>
          </w:p>
        </w:tc>
        <w:tc>
          <w:tcPr>
            <w:tcW w:w="400" w:type="dxa"/>
          </w:tcPr>
          <w:p/>
        </w:tc>
        <w:tc>
          <w:tcPr>
            <w:tcW w:w="10433" w:type="dxa"/>
          </w:tcPr>
          <w:p>
            <w:pPr>
              <w:jc w:val="left"/>
              <w:spacing w:line="300" w:lineRule="auto"/>
            </w:pPr>
            <w:r>
              <w:rPr>
                <w:rFonts w:ascii="標楷體" w:hAnsi="標楷體" w:eastAsia="標楷體" w:cs="標楷體"/>
                <w:lang w:val="en-US" w:eastAsia="zh-CN"/>
                <w:sz w:val="32"/>
                <w:szCs w:val="32"/>
              </w:rPr>
              <w:t xml:space="preserve">    木柴說：「從現在起，我們再也不會到人類的家裡！」婦女說：「你們走吧！不需要你們！我們自己取柴。」於是木柴、松柴、餘爐、火灰都離開家裡。</w:t>
            </w:r>
          </w:p>
          <w:p>
            <w:pPr>
              <w:jc w:val="left"/>
              <w:spacing w:line="300" w:lineRule="auto"/>
            </w:pPr>
            <w:r>
              <w:rPr>
                <w:rFonts w:ascii="標楷體" w:hAnsi="標楷體" w:eastAsia="標楷體" w:cs="標楷體"/>
                <w:lang w:val="en-US" w:eastAsia="zh-CN"/>
                <w:sz w:val="32"/>
                <w:szCs w:val="32"/>
              </w:rPr>
              <w:t xml:space="preserve">    隔天，丈夫從山上打獵回來，廚房連一根木柴都沒有，為何木柴都沒自己進到家裡？他問他妻子怎麼了？妻子不知要如何解釋，害怕被罵。他訓斥妻子說：「隨便罵木柴，所以木柴不進入家裡。」後來，人類煮飯，需靠自己去山上取柴扛回家，才有柴火燒，可以煮飯給家人吃。</w:t>
            </w:r>
          </w:p>
        </w:tc>
      </w:tr>
    </w:tbl>
    <w:sectPr>
      <w:pgSz w:orient="portrait" w:w="23814" w:h="16840"/>
      <w:pgMar w:top="1134" w:right="1474" w:bottom="1134" w:left="147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2024-10-14T17:49:09+08:00</dcterms:created>
  <dcterms:modified xsi:type="dcterms:W3CDTF">2024-10-14T17:49:09+08:00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